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20" w:line="264" w:lineRule="auto"/>
      </w:pPr>
      <w:r>
        <w:rPr>
          <w:rFonts w:ascii="Arial" w:hAnsi="Arial" w:cs="Arial" w:eastAsia="Arial"/>
          <w:b/>
          <w:i w:val="0"/>
          <w:color w:val="7B2C7B"/>
          <w:sz w:val="36"/>
        </w:rPr>
        <w:t>Dienstanweisung und Objektanweisung im Sicherheitsdienst (Muster)</w:t>
      </w:r>
    </w:p>
    <w:p>
      <w:pPr>
        <w:spacing w:before="0" w:after="200" w:line="276" w:lineRule="auto"/>
      </w:pPr>
      <w:r>
        <w:rPr>
          <w:rFonts w:ascii="Arial" w:hAnsi="Arial" w:cs="Arial" w:eastAsia="Arial"/>
          <w:b w:val="0"/>
          <w:i w:val="0"/>
          <w:color w:val="555555"/>
          <w:sz w:val="20"/>
        </w:rPr>
        <w:t>Muster nach § 17 BewachV und § 4 DGUV Vorschrift 23.</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Unternehmen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Version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Datum</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Verantwortliche Person (Name, Funktion)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Unterschrift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tbl>
      <w:tblPr>
        <w:tblW w:type="auto" w:w="0"/>
        <w:jc w:val="center"/>
        <w:tblLayout w:type="fixed"/>
        <w:tblLook w:firstColumn="1" w:firstRow="1" w:lastColumn="0" w:lastRow="0" w:noHBand="0" w:noVBand="1" w:val="04A0"/>
        <w:tblLayout w:type="fixed"/>
      </w:tblPr>
      <w:tblGrid>
        <w:gridCol w:w="9639"/>
      </w:tblGrid>
      <w:tr>
        <w:tc>
          <w:tcPr>
            <w:tcW w:type="dxa" w:w="9638"/>
            <w:shd w:val="clear" w:color="auto" w:fill="F6EEF6"/>
            <w:tcBorders>
              <w:top w:val="nil"/>
              <w:left w:val="single" w:sz="8" w:space="0" w:color="7B2C7B"/>
              <w:bottom w:val="nil"/>
              <w:right w:val="nil"/>
            </w:tcBorders>
            <w:tcMar>
              <w:top w:w="120" w:type="dxa"/>
              <w:bottom w:w="120" w:type="dxa"/>
              <w:start w:w="200" w:type="dxa"/>
              <w:end w:w="200" w:type="dxa"/>
            </w:tcMar>
          </w:tcPr>
          <w:p>
            <w:pPr>
              <w:spacing w:before="0" w:after="60" w:line="240" w:lineRule="auto"/>
            </w:pPr>
            <w:r>
              <w:rPr>
                <w:rFonts w:ascii="Arial" w:hAnsi="Arial" w:cs="Arial" w:eastAsia="Arial"/>
                <w:b/>
                <w:i w:val="0"/>
                <w:color w:val="7B2C7B"/>
                <w:sz w:val="19"/>
              </w:rPr>
              <w:t>Hinweis zur Verwendung</w:t>
            </w:r>
          </w:p>
          <w:p>
            <w:pPr>
              <w:spacing w:before="0" w:after="0" w:line="288" w:lineRule="auto"/>
            </w:pPr>
            <w:r>
              <w:rPr>
                <w:rFonts w:ascii="Arial" w:hAnsi="Arial" w:cs="Arial" w:eastAsia="Arial"/>
                <w:b w:val="0"/>
                <w:i w:val="0"/>
                <w:sz w:val="19"/>
              </w:rPr>
              <w:t>Dieses Muster besteht aus zwei Dokumenten. Die allgemeine Dienstanweisung (Teil A) gehört zum Mitarbeiter und gilt objektübergreifend. Die Objektanweisung (Teil B) gehört zum Auftrag und wird je Objekt erstellt. Vorgeschrieben ist diese Trennung nicht, angelegt ist sie aber in der Durchführungsanweisung zu § 4 DGUV Vorschrift 23, die eine allgemeine und eine spezielle Dienstanweisung unterscheidet. Das Muster muss auf Ihren Betrieb angepasst werden. Außerhalb der gesetzlichen Pflichtinhalte reicht eine Dienstanweisung nur so weit wie das Weisungsrecht nach § 106 GewO. Regelungen zu Vergütung, Zuschlägen und zur Dauer der Arbeitszeit gehören deshalb in Arbeitsvertrag und Tarifvertrag. Die Lage der Dienstzeiten je Objekt (Teil B.3) ist Weisungssache. Besteht ein Betriebsrat, sind § 87 Absatz 1 Nummer 1 BetrVG und bei Schichtfestlegungen § 87 Absatz 1 Nummer 2 BetrVG zu beachten. Das Muster ist eine allgemeine Arbeitshilfe und keine Rechtsberatung; die Angaben erfolgen ohne Gewähr. Verbindlich sind die jeweils gültigen Fassungen der genannten Vorschriften und Ihre eigene, an den Betrieb angepasste Fassung.</w:t>
            </w:r>
          </w:p>
        </w:tc>
      </w:tr>
    </w:tbl>
    <w:p>
      <w:pPr>
        <w:spacing w:before="0" w:after="0" w:line="240" w:lineRule="auto"/>
      </w:pPr>
    </w:p>
    <w:p>
      <w:pPr>
        <w:keepNext/>
        <w:spacing w:before="160" w:after="40" w:line="276" w:lineRule="auto"/>
      </w:pPr>
      <w:r>
        <w:rPr>
          <w:rFonts w:ascii="Arial" w:hAnsi="Arial" w:cs="Arial" w:eastAsia="Arial"/>
          <w:b/>
          <w:i w:val="0"/>
          <w:color w:val="7B2C7B"/>
          <w:sz w:val="19"/>
        </w:rPr>
        <w:t>Aufbau des Musters</w:t>
      </w:r>
    </w:p>
    <w:tbl>
      <w:tblPr>
        <w:tblW w:type="auto" w:w="0"/>
        <w:jc w:val="center"/>
        <w:tblLayout w:type="fixed"/>
        <w:tblLook w:firstColumn="1" w:firstRow="1" w:lastColumn="0" w:lastRow="0" w:noHBand="0" w:noVBand="1" w:val="04A0"/>
        <w:tblLayout w:type="fixed"/>
      </w:tblPr>
      <w:tblGrid>
        <w:gridCol w:w="1360"/>
        <w:gridCol w:w="8278"/>
      </w:tblGrid>
      <w:tr>
        <w:trPr>
          <w:cantSplit/>
        </w:trPr>
        <w:tc>
          <w:tcPr>
            <w:tcW w:type="dxa" w:w="13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r>
              <w:rPr>
                <w:rFonts w:ascii="Arial" w:hAnsi="Arial" w:cs="Arial" w:eastAsia="Arial"/>
                <w:b/>
                <w:i w:val="0"/>
                <w:sz w:val="19"/>
              </w:rPr>
              <w:t>Teil A</w:t>
            </w:r>
          </w:p>
        </w:tc>
        <w:tc>
          <w:tcPr>
            <w:tcW w:type="dxa" w:w="827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r>
              <w:rPr>
                <w:rFonts w:ascii="Arial" w:hAnsi="Arial" w:cs="Arial" w:eastAsia="Arial"/>
                <w:b w:val="0"/>
                <w:i w:val="0"/>
                <w:sz w:val="19"/>
              </w:rPr>
              <w:t>Allgemeine Dienstanweisung: gilt für alle Beschäftigten, objektübergreifend.</w:t>
            </w:r>
          </w:p>
        </w:tc>
      </w:tr>
      <w:tr>
        <w:trPr>
          <w:cantSplit/>
        </w:trPr>
        <w:tc>
          <w:tcPr>
            <w:tcW w:type="dxa" w:w="13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r>
              <w:rPr>
                <w:rFonts w:ascii="Arial" w:hAnsi="Arial" w:cs="Arial" w:eastAsia="Arial"/>
                <w:b/>
                <w:i w:val="0"/>
                <w:sz w:val="19"/>
              </w:rPr>
              <w:t>Teil B</w:t>
            </w:r>
          </w:p>
        </w:tc>
        <w:tc>
          <w:tcPr>
            <w:tcW w:type="dxa" w:w="827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r>
              <w:rPr>
                <w:rFonts w:ascii="Arial" w:hAnsi="Arial" w:cs="Arial" w:eastAsia="Arial"/>
                <w:b w:val="0"/>
                <w:i w:val="0"/>
                <w:sz w:val="19"/>
              </w:rPr>
              <w:t>Objektanweisung (objektbezogene Dienstanweisung): je Objekt ein Exemplar.</w:t>
            </w:r>
          </w:p>
        </w:tc>
      </w:tr>
      <w:tr>
        <w:trPr>
          <w:cantSplit/>
        </w:trPr>
        <w:tc>
          <w:tcPr>
            <w:tcW w:type="dxa" w:w="13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r>
              <w:rPr>
                <w:rFonts w:ascii="Arial" w:hAnsi="Arial" w:cs="Arial" w:eastAsia="Arial"/>
                <w:b/>
                <w:i w:val="0"/>
                <w:sz w:val="19"/>
              </w:rPr>
              <w:t>Teil C</w:t>
            </w:r>
          </w:p>
        </w:tc>
        <w:tc>
          <w:tcPr>
            <w:tcW w:type="dxa" w:w="827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r>
              <w:rPr>
                <w:rFonts w:ascii="Arial" w:hAnsi="Arial" w:cs="Arial" w:eastAsia="Arial"/>
                <w:b w:val="0"/>
                <w:i w:val="0"/>
                <w:sz w:val="19"/>
              </w:rPr>
              <w:t>Empfangsbescheinigung nach § 17 Absatz 2 BewachV.</w:t>
            </w:r>
          </w:p>
        </w:tc>
      </w:tr>
    </w:tbl>
    <w:p>
      <w:pPr>
        <w:keepNext/>
        <w:pageBreakBefore/>
        <w:spacing w:before="280" w:after="80" w:line="264" w:lineRule="auto"/>
      </w:pPr>
      <w:r>
        <w:rPr>
          <w:rFonts w:ascii="Arial" w:hAnsi="Arial" w:cs="Arial" w:eastAsia="Arial"/>
          <w:b/>
          <w:i w:val="0"/>
          <w:color w:val="7B2C7B"/>
          <w:sz w:val="26"/>
        </w:rPr>
        <w:t>Teil A: Allgemeine Dienstanweisung</w:t>
      </w:r>
    </w:p>
    <w:p>
      <w:pPr>
        <w:spacing w:before="0" w:after="120" w:line="276" w:lineRule="auto"/>
      </w:pPr>
      <w:r>
        <w:rPr>
          <w:rFonts w:ascii="Arial" w:hAnsi="Arial" w:cs="Arial" w:eastAsia="Arial"/>
          <w:b w:val="0"/>
          <w:i w:val="0"/>
          <w:sz w:val="20"/>
        </w:rPr>
        <w:t>Die allgemeine Dienstanweisung legt die Anforderungen für alle Beschäftigten fest. Sie deckt die Pflichtinhalte aus § 17 BewachV und § 4 DGUV Vorschrift 23 ab. Jeder Punkt bleibt einer Norm oder einer betrieblichen Entscheidung zugeordnet. Übernehmen Sie die Struktur und füllen Sie die Abschnitte mit Ihren eigenen Festlegungen.</w:t>
      </w:r>
    </w:p>
    <w:p>
      <w:pPr>
        <w:keepNext/>
        <w:spacing w:before="200" w:after="60" w:line="264" w:lineRule="auto"/>
      </w:pPr>
      <w:r>
        <w:rPr>
          <w:rFonts w:ascii="Arial" w:hAnsi="Arial" w:cs="Arial" w:eastAsia="Arial"/>
          <w:b/>
          <w:i w:val="0"/>
          <w:color w:val="7B2C7B"/>
          <w:sz w:val="23"/>
        </w:rPr>
        <w:t>A.1  Geltungsbereich und Verbindlichkeit</w:t>
      </w:r>
    </w:p>
    <w:p>
      <w:pPr>
        <w:keepNext/>
        <w:spacing w:before="0" w:after="100" w:line="276" w:lineRule="auto"/>
      </w:pPr>
      <w:r>
        <w:rPr>
          <w:rFonts w:ascii="Arial" w:hAnsi="Arial" w:cs="Arial" w:eastAsia="Arial"/>
          <w:b w:val="0"/>
          <w:i w:val="0"/>
          <w:sz w:val="20"/>
        </w:rPr>
        <w:t>Legen Sie fest, für welche Beschäftigten und Tätigkeiten diese Dienstanweisung gilt, ab wann sie gilt und welche Fassung sie ersetzt. Die Anweisung gilt objektübergreifend. Objektbezogene Regelungen stehen in der jeweiligen Objektanweisung (Teil B).</w:t>
      </w:r>
    </w:p>
    <w:tbl>
      <w:tblPr>
        <w:tblW w:type="auto" w:w="0"/>
        <w:jc w:val="center"/>
        <w:tblLayout w:type="fixed"/>
        <w:tblLook w:firstColumn="1" w:firstRow="1" w:lastColumn="0" w:lastRow="0" w:noHBand="0" w:noVBand="1" w:val="04A0"/>
        <w:tblLayout w:type="fixed"/>
      </w:tblPr>
      <w:tblGrid>
        <w:gridCol w:w="3061"/>
        <w:gridCol w:w="6577"/>
      </w:tblGrid>
      <w:tr>
        <w:trPr>
          <w:cantSplit/>
          <w:trHeight w:val="850"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Gilt für folgende Beschäftigten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850"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Gilt für folgende Tätigkeiten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Gültig ab</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Ersetzt Fassung (Version, Datum)</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Verhältnis zur Objektanweisung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A.2  Rechtsstellung und Befugnisse</w:t>
      </w:r>
    </w:p>
    <w:p>
      <w:pPr>
        <w:keepNext/>
        <w:spacing w:before="0" w:after="100" w:line="276" w:lineRule="auto"/>
      </w:pPr>
      <w:r>
        <w:rPr>
          <w:rFonts w:ascii="Arial" w:hAnsi="Arial" w:cs="Arial" w:eastAsia="Arial"/>
          <w:b w:val="0"/>
          <w:i w:val="0"/>
          <w:sz w:val="20"/>
        </w:rPr>
        <w:t>Der erste Pflichtinhalt nach § 17 Absatz 1 BewachV ist der Hinweis, dass die Wachperson nicht die Eigenschaft und die Befugnisse eines Polizeivollzugsbeamten oder eines sonstigen Behördenbediensteten besitzt. Ergänzen Sie die Rechte, auf die sich eine Wachperson nach § 34a Absatz 5 GewO stützt: Notwehr, Notstand, Selbsthilfe und vertraglich übertragene Rechte, jeweils unter Beachtung des Grundsatzes der Erforderlichkeit.</w:t>
      </w:r>
    </w:p>
    <w:tbl>
      <w:tblPr>
        <w:tblW w:type="auto" w:w="0"/>
        <w:jc w:val="center"/>
        <w:tblLayout w:type="fixed"/>
        <w:tblLook w:firstColumn="1" w:firstRow="1" w:lastColumn="0" w:lastRow="0" w:noHBand="0" w:noVBand="1" w:val="04A0"/>
        <w:tblLayout w:type="fixed"/>
      </w:tblPr>
      <w:tblGrid>
        <w:gridCol w:w="3061"/>
        <w:gridCol w:w="6577"/>
      </w:tblGrid>
      <w:tr>
        <w:trPr>
          <w:cantSplit/>
        </w:trPr>
        <w:tc>
          <w:tcPr>
            <w:tcW w:type="dxa" w:w="6576"/>
            <w:gridSpan w:val="2"/>
            <w:shd w:val="clear" w:color="auto" w:fill="F6EEF6"/>
            <w:tcBorders>
              <w:top w:val="nil"/>
              <w:left w:val="single" w:sz="8" w:space="0" w:color="7B2C7B"/>
              <w:bottom w:val="nil"/>
              <w:right w:val="nil"/>
            </w:tcBorders>
            <w:tcMar>
              <w:top w:w="100" w:type="dxa"/>
              <w:bottom w:w="100" w:type="dxa"/>
              <w:start w:w="200" w:type="dxa"/>
              <w:end w:w="200" w:type="dxa"/>
            </w:tcMar>
          </w:tcPr>
          <w:p>
            <w:pPr>
              <w:keepNext/>
              <w:spacing w:before="0" w:after="40" w:line="240" w:lineRule="auto"/>
            </w:pPr>
            <w:r>
              <w:rPr>
                <w:rFonts w:ascii="Arial" w:hAnsi="Arial" w:cs="Arial" w:eastAsia="Arial"/>
                <w:b/>
                <w:i w:val="0"/>
                <w:color w:val="7B2C7B"/>
                <w:sz w:val="18"/>
              </w:rPr>
              <w:t>Vorschlag für die Formulierung</w:t>
            </w:r>
          </w:p>
          <w:p>
            <w:pPr>
              <w:keepNext/>
              <w:spacing w:before="0" w:after="0" w:line="288" w:lineRule="auto"/>
            </w:pPr>
            <w:r>
              <w:rPr>
                <w:rFonts w:ascii="Arial" w:hAnsi="Arial" w:cs="Arial" w:eastAsia="Arial"/>
                <w:b w:val="0"/>
                <w:i w:val="0"/>
                <w:sz w:val="20"/>
              </w:rPr>
              <w:t>Die Wachperson besitzt nicht die Eigenschaft und nicht die Befugnisse eines Polizeivollzugsbeamten oder eines sonstigen Behördenbediensteten.</w:t>
            </w: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Betriebseigene Fassung des Hinweises zur Rechtsstellung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Festlegungen zu Notwehr, Notstand und Selbsthilfe</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Vertraglich übertragene Rechte (je Auftrag, Verweis auf Objektanweisung)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Grundsatz der Erforderlichkeit (betriebliche Ausgestaltung)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A.3  Waffen und Hilfsmittel</w:t>
      </w:r>
    </w:p>
    <w:p>
      <w:pPr>
        <w:keepNext/>
        <w:spacing w:before="0" w:after="100" w:line="276" w:lineRule="auto"/>
      </w:pPr>
      <w:r>
        <w:rPr>
          <w:rFonts w:ascii="Arial" w:hAnsi="Arial" w:cs="Arial" w:eastAsia="Arial"/>
          <w:b w:val="0"/>
          <w:i w:val="0"/>
          <w:sz w:val="20"/>
        </w:rPr>
        <w:t>Der zweite Pflichtinhalt nach § 17 Absatz 1 BewachV: Die Wachperson führt während des Dienstes eine Schusswaffe, Hieb- und Stoßwaffen sowie Reizstoffsprühgeräte nur mit Zustimmung des Gewerbetreibenden und zeigt jeden Gebrauch dieser Waffen unverzüglich an. Die Anzeige richtet sich an die zuständige Polizeidienststelle und an das Unternehmen. Legen Sie zusätzlich fest, welche Hilfsmittel überlassen werden und wie die Zustimmung erteilt wird.</w:t>
      </w:r>
    </w:p>
    <w:tbl>
      <w:tblPr>
        <w:tblW w:type="auto" w:w="0"/>
        <w:jc w:val="center"/>
        <w:tblLayout w:type="fixed"/>
        <w:tblLook w:firstColumn="1" w:firstRow="1" w:lastColumn="0" w:lastRow="0" w:noHBand="0" w:noVBand="1" w:val="04A0"/>
        <w:tblLayout w:type="fixed"/>
      </w:tblPr>
      <w:tblGrid>
        <w:gridCol w:w="3061"/>
        <w:gridCol w:w="6577"/>
      </w:tblGrid>
      <w:tr>
        <w:trPr>
          <w:cantSplit/>
        </w:trPr>
        <w:tc>
          <w:tcPr>
            <w:tcW w:type="dxa" w:w="6576"/>
            <w:gridSpan w:val="2"/>
            <w:shd w:val="clear" w:color="auto" w:fill="F6EEF6"/>
            <w:tcBorders>
              <w:top w:val="nil"/>
              <w:left w:val="single" w:sz="8" w:space="0" w:color="7B2C7B"/>
              <w:bottom w:val="nil"/>
              <w:right w:val="nil"/>
            </w:tcBorders>
            <w:tcMar>
              <w:top w:w="100" w:type="dxa"/>
              <w:bottom w:w="100" w:type="dxa"/>
              <w:start w:w="200" w:type="dxa"/>
              <w:end w:w="200" w:type="dxa"/>
            </w:tcMar>
          </w:tcPr>
          <w:p>
            <w:pPr>
              <w:keepNext/>
              <w:spacing w:before="0" w:after="40" w:line="240" w:lineRule="auto"/>
            </w:pPr>
            <w:r>
              <w:rPr>
                <w:rFonts w:ascii="Arial" w:hAnsi="Arial" w:cs="Arial" w:eastAsia="Arial"/>
                <w:b/>
                <w:i w:val="0"/>
                <w:color w:val="7B2C7B"/>
                <w:sz w:val="18"/>
              </w:rPr>
              <w:t>Vorschlag für die Formulierung</w:t>
            </w:r>
          </w:p>
          <w:p>
            <w:pPr>
              <w:keepNext/>
              <w:spacing w:before="0" w:after="0" w:line="288" w:lineRule="auto"/>
            </w:pPr>
            <w:r>
              <w:rPr>
                <w:rFonts w:ascii="Arial" w:hAnsi="Arial" w:cs="Arial" w:eastAsia="Arial"/>
                <w:b w:val="0"/>
                <w:i w:val="0"/>
                <w:sz w:val="20"/>
              </w:rPr>
              <w:t>Die Wachperson führt während des Dienstes eine Schusswaffe, Hieb- und Stoßwaffen sowie Reizstoffsprühgeräte nur mit Zustimmung des Gewerbetreibenden. Jeden Gebrauch dieser Waffen zeigt sie unverzüglich der zuständigen Polizeidienststelle und dem Unternehmen an.</w:t>
            </w: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Betriebseigene Fassung der Regelung zu Waffen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Zustimmung wird erteilt durch (Person, Funktion, Form)</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Anzeige im Unternehmen an (Stelle, Erreichbarkeit)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Überlassene Hilfsmittel</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Regeln zu Mitführen, Aufbewahrung und Rückgabe der Hilfsmittel</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A.4  Ausweis und Dienstkleidung</w:t>
      </w:r>
    </w:p>
    <w:p>
      <w:pPr>
        <w:keepNext/>
        <w:spacing w:before="0" w:after="100" w:line="276" w:lineRule="auto"/>
      </w:pPr>
      <w:r>
        <w:rPr>
          <w:rFonts w:ascii="Arial" w:hAnsi="Arial" w:cs="Arial" w:eastAsia="Arial"/>
          <w:b w:val="0"/>
          <w:i w:val="0"/>
          <w:sz w:val="20"/>
        </w:rPr>
        <w:t>Regeln Sie die Mitführ- und Vorzeigepflicht des Ausweises nach § 18 BewachV sowie Ihre Festlegungen zur Dienstkleidung im Rahmen von § 19 BewachV.</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Ausweis: Mitführpflicht (wann, wo)</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Ausweis: Vorzeigepflicht (gegenüber wem, auf welche Aufforderung)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Verhalten bei Verlust des Ausweises (Meldung an)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Dienstkleidung: Festlegungen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Kennzeichnung und Tragepflicht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A.5  Verschwiegenheit und Datenschutz</w:t>
      </w:r>
    </w:p>
    <w:p>
      <w:pPr>
        <w:keepNext/>
        <w:spacing w:before="0" w:after="100" w:line="276" w:lineRule="auto"/>
      </w:pPr>
      <w:r>
        <w:rPr>
          <w:rFonts w:ascii="Arial" w:hAnsi="Arial" w:cs="Arial" w:eastAsia="Arial"/>
          <w:b w:val="0"/>
          <w:i w:val="0"/>
          <w:sz w:val="20"/>
        </w:rPr>
        <w:t>Die Verpflichtung zur Verschwiegenheit nach § 17 Absatz 3 BewachV ist ein gesondertes, vor Tätigkeitsbeginn schriftlich abzugebendes Dokument und wird hier nur in Bezug genommen. Regeln Sie in diesem Abschnitt den Umgang mit Kundendaten, Fotos und Videoaufnahmen.</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Verweis auf die Verpflichtungserklärung nach § 17 Absatz 3 BewachV (Bezeichnung, Datum)</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Umgang mit Kundendaten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Fotos und Videoaufnahmen (zulässig, unzulässig, Freigabe durch)</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Weitergabe von Informationen an Dritte</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A.6  Dienstfähigkeit</w:t>
      </w:r>
    </w:p>
    <w:p>
      <w:pPr>
        <w:keepNext/>
        <w:spacing w:before="0" w:after="100" w:line="276" w:lineRule="auto"/>
      </w:pPr>
      <w:r>
        <w:rPr>
          <w:rFonts w:ascii="Arial" w:hAnsi="Arial" w:cs="Arial" w:eastAsia="Arial"/>
          <w:b w:val="0"/>
          <w:i w:val="0"/>
          <w:sz w:val="20"/>
        </w:rPr>
        <w:t>§ 5 DGUV Vorschrift 23 verbietet alkoholische Getränke und andere berauschende Mittel während der Dienstzeit und in einem angemessenen Zeitraum davor. Legen Sie diesen Zeitraum und das Verhalten bei eingeschränkter Dienstfähigkeit fest.</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Verbot alkoholischer Getränke und anderer berauschender Mittel: betriebliche Fassung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Angemessener Zeitraum vor Dienstbeginn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Verhalten bei eingeschränkter Dienstfähigkeit (Meldung an)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Umgang mit Medikamenten, die die Dienstfähigkeit beeinflussen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A.7  Verhalten im Dienst und Meldewege</w:t>
      </w:r>
    </w:p>
    <w:p>
      <w:pPr>
        <w:keepNext/>
        <w:spacing w:before="0" w:after="100" w:line="276" w:lineRule="auto"/>
      </w:pPr>
      <w:r>
        <w:rPr>
          <w:rFonts w:ascii="Arial" w:hAnsi="Arial" w:cs="Arial" w:eastAsia="Arial"/>
          <w:b w:val="0"/>
          <w:i w:val="0"/>
          <w:sz w:val="20"/>
        </w:rPr>
        <w:t>§ 4 Absatz 1 DGUV Vorschrift 23 nennt das Weitermelden von Mängeln und besonderen Gefahren ausdrücklich als Inhalt der Dienstanweisung. Legen Sie fest, wer wen informiert, in welcher Frist und über welchen Kanal.</w:t>
      </w:r>
    </w:p>
    <w:tbl>
      <w:tblPr>
        <w:tblW w:type="auto" w:w="0"/>
        <w:jc w:val="center"/>
        <w:tblLayout w:type="fixed"/>
        <w:tblLook w:firstColumn="1" w:firstRow="1" w:lastColumn="0" w:lastRow="0" w:noHBand="0" w:noVBand="1" w:val="04A0"/>
        <w:tblLayout w:type="fixed"/>
      </w:tblPr>
      <w:tblGrid>
        <w:gridCol w:w="2381"/>
        <w:gridCol w:w="3515"/>
        <w:gridCol w:w="1587"/>
        <w:gridCol w:w="2154"/>
      </w:tblGrid>
      <w:tr>
        <w:trPr>
          <w:cantSplit/>
        </w:trPr>
        <w:tc>
          <w:tcPr>
            <w:tcW w:type="dxa" w:w="2381"/>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Ereignis</w:t>
            </w:r>
          </w:p>
        </w:tc>
        <w:tc>
          <w:tcPr>
            <w:tcW w:type="dxa" w:w="3515"/>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Meldung an (Person, Funktion)</w:t>
            </w:r>
          </w:p>
        </w:tc>
        <w:tc>
          <w:tcPr>
            <w:tcW w:type="dxa" w:w="1587"/>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Frist</w:t>
            </w:r>
          </w:p>
        </w:tc>
        <w:tc>
          <w:tcPr>
            <w:tcW w:type="dxa" w:w="2154"/>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Kanal</w:t>
            </w:r>
          </w:p>
        </w:tc>
      </w:tr>
      <w:tr>
        <w:trPr>
          <w:cantSplit/>
          <w:trHeight w:val="850" w:hRule="atLeast"/>
        </w:trPr>
        <w:tc>
          <w:tcPr>
            <w:tcW w:type="dxa" w:w="238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r>
              <w:rPr>
                <w:rFonts w:ascii="Arial" w:hAnsi="Arial" w:cs="Arial" w:eastAsia="Arial"/>
                <w:b w:val="0"/>
                <w:i w:val="0"/>
                <w:sz w:val="19"/>
              </w:rPr>
              <w:t>Mängel</w:t>
            </w:r>
          </w:p>
        </w:tc>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58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850" w:hRule="atLeast"/>
        </w:trPr>
        <w:tc>
          <w:tcPr>
            <w:tcW w:type="dxa" w:w="238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r>
              <w:rPr>
                <w:rFonts w:ascii="Arial" w:hAnsi="Arial" w:cs="Arial" w:eastAsia="Arial"/>
                <w:b w:val="0"/>
                <w:i w:val="0"/>
                <w:sz w:val="19"/>
              </w:rPr>
              <w:t>Besondere Gefahren</w:t>
            </w:r>
          </w:p>
        </w:tc>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58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850" w:hRule="atLeast"/>
        </w:trPr>
        <w:tc>
          <w:tcPr>
            <w:tcW w:type="dxa" w:w="238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r>
              <w:rPr>
                <w:rFonts w:ascii="Arial" w:hAnsi="Arial" w:cs="Arial" w:eastAsia="Arial"/>
                <w:b w:val="0"/>
                <w:i w:val="0"/>
                <w:sz w:val="19"/>
              </w:rPr>
              <w:t>Sonstige Ereignisse</w:t>
            </w:r>
          </w:p>
        </w:tc>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58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bl>
    <w:p>
      <w:pPr>
        <w:keepNext/>
        <w:spacing w:before="0" w:after="40" w:line="144" w:lineRule="auto"/>
      </w:pP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Weitere Verhaltensregeln im Dienst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A.8  Ausrüstung</w:t>
      </w:r>
    </w:p>
    <w:p>
      <w:pPr>
        <w:keepNext/>
        <w:spacing w:before="0" w:after="100" w:line="276" w:lineRule="auto"/>
      </w:pPr>
      <w:r>
        <w:rPr>
          <w:rFonts w:ascii="Arial" w:hAnsi="Arial" w:cs="Arial" w:eastAsia="Arial"/>
          <w:b w:val="0"/>
          <w:i w:val="0"/>
          <w:sz w:val="20"/>
        </w:rPr>
        <w:t>Regeln Sie nach § 10 DGUV Vorschrift 23 die Zustandskontrolle und die Handhabung der überlassenen Ausrüstung.</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Überlassene Ausrüstung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Zustandskontrolle (wann, durch wen, wie dokumentiert)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Handhabung und Pflege</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Verhalten bei Mängeln an der Ausrüstung (Meldung an)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A.9  Dokumentation</w:t>
      </w:r>
    </w:p>
    <w:p>
      <w:pPr>
        <w:keepNext/>
        <w:spacing w:before="0" w:after="100" w:line="276" w:lineRule="auto"/>
      </w:pPr>
      <w:r>
        <w:rPr>
          <w:rFonts w:ascii="Arial" w:hAnsi="Arial" w:cs="Arial" w:eastAsia="Arial"/>
          <w:b w:val="0"/>
          <w:i w:val="0"/>
          <w:sz w:val="20"/>
        </w:rPr>
        <w:t>Legen Sie fest, welche Vorgänge zwingend im Wachbuch festgehalten werden und welche Ereignisse zusätzlich gemeldet werden.</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Zwingend im Wachbuch festzuhalten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Zusätzlich zu meldende Ereignisse (an wen)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Form und Aufbewahrung des Wachbuchs</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A.10  Weisungen Dritter</w:t>
      </w:r>
    </w:p>
    <w:p>
      <w:pPr>
        <w:keepNext/>
        <w:spacing w:before="0" w:after="100" w:line="276" w:lineRule="auto"/>
      </w:pPr>
      <w:r>
        <w:rPr>
          <w:rFonts w:ascii="Arial" w:hAnsi="Arial" w:cs="Arial" w:eastAsia="Arial"/>
          <w:b w:val="0"/>
          <w:i w:val="0"/>
          <w:sz w:val="20"/>
        </w:rPr>
        <w:t>Nach § 4 Absatz 3 DGUV Vorschrift 23 dürfen Beschäftigte keine Weisungen des Auftraggebers befolgen, die dem Sicherungsauftrag entgegenstehen. Legen Sie fest, wie die Wachperson in diesem Fall vorgeht und wen sie informiert.</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Betriebliche Fassung des Hinweises</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Vorgehen bei einer entgegenstehenden Weisung des Auftraggebers</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Meldung an (Person, Erreichbarkeit)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A.11  Unterweisung und Empfang</w:t>
      </w:r>
    </w:p>
    <w:p>
      <w:pPr>
        <w:keepNext/>
        <w:spacing w:before="0" w:after="100" w:line="276" w:lineRule="auto"/>
      </w:pPr>
      <w:r>
        <w:rPr>
          <w:rFonts w:ascii="Arial" w:hAnsi="Arial" w:cs="Arial" w:eastAsia="Arial"/>
          <w:b w:val="0"/>
          <w:i w:val="0"/>
          <w:sz w:val="20"/>
        </w:rPr>
        <w:t>Nach § 4 Absatz 2 DGUV Vorschrift 23 wird das Personal anhand der Dienstanweisungen vor Aufnahme der Tätigkeit und darüber hinaus regelmäßig unterwiesen. Sicherheitsgerechtes Verhalten bei besonderen Gefahren ist soweit wie möglich zu üben. Legen Sie den Turnus fest. Die Empfangsbescheinigung nach § 17 Absatz 2 BewachV finden Sie in Teil C.</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Erstunterweisung vor Aufnahme der Tätigkeit (durch wen, Form)</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Turnus der wiederkehrenden Unterweisung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Übung des Verhaltens bei besonderen Gefahren (welche, wie oft)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Nachweis der Unterweisung (Form, Aufbewahrung)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Empfangsbescheinigung (Formular in Teil C)</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keepNext/>
        <w:pageBreakBefore/>
        <w:spacing w:before="280" w:after="80" w:line="264" w:lineRule="auto"/>
      </w:pPr>
      <w:r>
        <w:rPr>
          <w:rFonts w:ascii="Arial" w:hAnsi="Arial" w:cs="Arial" w:eastAsia="Arial"/>
          <w:b/>
          <w:i w:val="0"/>
          <w:color w:val="7B2C7B"/>
          <w:sz w:val="26"/>
        </w:rPr>
        <w:t>Teil B: Objektanweisung (objektbezogene Dienstanweisung)</w:t>
      </w:r>
    </w:p>
    <w:p>
      <w:pPr>
        <w:keepNext/>
        <w:spacing w:before="0" w:after="120" w:line="276" w:lineRule="auto"/>
      </w:pPr>
      <w:r>
        <w:rPr>
          <w:rFonts w:ascii="Arial" w:hAnsi="Arial" w:cs="Arial" w:eastAsia="Arial"/>
          <w:b w:val="0"/>
          <w:i w:val="0"/>
          <w:sz w:val="20"/>
        </w:rPr>
        <w:t>Die Objektanweisung beantwortet die Fragen, die von Objekt zu Objekt unterschiedlich ausfallen. Sie beschreibt Umfang und Ablauf der jeweiligen Wach- und Sicherungstätigkeit einschließlich aller vorgesehenen Nebentätigkeiten. Legen Sie je Objekt ein eigenes Exemplar an. Eine Änderung im Objekt berührt dann nur dieses Dokument, nicht die allgemeine Dienstanweisung.</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Objekt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Auftraggeber</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Gültig ab</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Version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Ersetzt Fassung (Version, Datum)</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B.1  Objektdaten und Ansprechpartner</w:t>
      </w:r>
    </w:p>
    <w:p>
      <w:pPr>
        <w:keepNext/>
        <w:spacing w:before="0" w:after="100" w:line="276" w:lineRule="auto"/>
      </w:pPr>
      <w:r>
        <w:rPr>
          <w:rFonts w:ascii="Arial" w:hAnsi="Arial" w:cs="Arial" w:eastAsia="Arial"/>
          <w:b w:val="0"/>
          <w:i w:val="0"/>
          <w:sz w:val="20"/>
        </w:rPr>
        <w:t>Anschrift, Zugänge, Lageplan und die namentlichen Ansprechpartner auf Kundenseite und im eigenen Unternehmen, jeweils mit Erreichbarkeit.</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Anschrift des Objekts</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Zugänge (Lage, Öffnungszeiten, Zugangsmittel)</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Lageplan (Bezeichnung, Ablageort)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Ansprechpartner Auftraggeber (Name, Funktion, Erreichbarkeit)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Ansprechpartner im eigenen Unternehmen (Name, Funktion, Erreichbarkeit)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B.2  Auftragsumfang und Nebentätigkeiten</w:t>
      </w:r>
    </w:p>
    <w:p>
      <w:pPr>
        <w:keepNext/>
        <w:spacing w:before="0" w:after="100" w:line="276" w:lineRule="auto"/>
      </w:pPr>
      <w:r>
        <w:rPr>
          <w:rFonts w:ascii="Arial" w:hAnsi="Arial" w:cs="Arial" w:eastAsia="Arial"/>
          <w:b w:val="0"/>
          <w:i w:val="0"/>
          <w:sz w:val="20"/>
        </w:rPr>
        <w:t>§ 6 Absatz 2 DGUV Vorschrift 23 verlangt, Sicherungsumfang und Sicherungsablauf einschließlich der vorgesehenen Nebentätigkeiten schriftlich festzulegen. Dieser Abschnitt ist die Rechtsgrundlage der Objektanweisung.</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Sicherungsumfang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Sicherungsablauf</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Vorgesehene Nebentätigkeiten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B.3  Dienstzeiten und Besetzung</w:t>
      </w:r>
    </w:p>
    <w:p>
      <w:pPr>
        <w:keepNext/>
        <w:spacing w:before="0" w:after="100" w:line="276" w:lineRule="auto"/>
      </w:pPr>
      <w:r>
        <w:rPr>
          <w:rFonts w:ascii="Arial" w:hAnsi="Arial" w:cs="Arial" w:eastAsia="Arial"/>
          <w:b w:val="0"/>
          <w:i w:val="0"/>
          <w:sz w:val="20"/>
        </w:rPr>
        <w:t>Schichten, Mindestbesetzung und die Regelung für Alleinarbeit.</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Schichten (Zeiten)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Mindestbesetzung je Schicht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Regelung für Alleinarbeit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B.4  Rundgänge und Kontrollpunkte</w:t>
      </w:r>
    </w:p>
    <w:p>
      <w:pPr>
        <w:keepNext/>
        <w:spacing w:before="0" w:after="100" w:line="276" w:lineRule="auto"/>
      </w:pPr>
      <w:r>
        <w:rPr>
          <w:rFonts w:ascii="Arial" w:hAnsi="Arial" w:cs="Arial" w:eastAsia="Arial"/>
          <w:b w:val="0"/>
          <w:i w:val="0"/>
          <w:sz w:val="20"/>
        </w:rPr>
        <w:t>Anzahl, Zeitfenster und Reihenfolge der Rundgänge sowie die Frage, welche Abweichungen zulässig sind und wie sie dokumentiert werden.</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Anzahl der Rundgänge je Schicht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Dokumentation von Abweichungen (wo, durch wen)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bl>
    <w:p>
      <w:pPr>
        <w:keepNext/>
        <w:spacing w:before="0" w:after="40" w:line="144" w:lineRule="auto"/>
      </w:pPr>
    </w:p>
    <w:tbl>
      <w:tblPr>
        <w:tblW w:type="auto" w:w="0"/>
        <w:jc w:val="center"/>
        <w:tblLayout w:type="fixed"/>
        <w:tblLook w:firstColumn="1" w:firstRow="1" w:lastColumn="0" w:lastRow="0" w:noHBand="0" w:noVBand="1" w:val="04A0"/>
        <w:tblLayout w:type="fixed"/>
      </w:tblPr>
      <w:tblGrid>
        <w:gridCol w:w="3515"/>
        <w:gridCol w:w="1927"/>
        <w:gridCol w:w="1474"/>
        <w:gridCol w:w="2721"/>
      </w:tblGrid>
      <w:tr>
        <w:trPr>
          <w:cantSplit/>
        </w:trPr>
        <w:tc>
          <w:tcPr>
            <w:tcW w:type="dxa" w:w="3515"/>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Kontrollpunkt</w:t>
            </w:r>
          </w:p>
        </w:tc>
        <w:tc>
          <w:tcPr>
            <w:tcW w:type="dxa" w:w="1928"/>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Zeitfenster</w:t>
            </w:r>
          </w:p>
        </w:tc>
        <w:tc>
          <w:tcPr>
            <w:tcW w:type="dxa" w:w="1474"/>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Reihenfolge</w:t>
            </w:r>
          </w:p>
        </w:tc>
        <w:tc>
          <w:tcPr>
            <w:tcW w:type="dxa" w:w="2721"/>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Zulässige Abweichung</w:t>
            </w:r>
          </w:p>
        </w:tc>
      </w:tr>
      <w:tr>
        <w:trPr>
          <w:cantSplit/>
          <w:trHeight w:val="623" w:hRule="atLeast"/>
        </w:trPr>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92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47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72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92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47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72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92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47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72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92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47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72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92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47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72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92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47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72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92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47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72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351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192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147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272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B.5  Schließfolge und Schlüssel</w:t>
      </w:r>
    </w:p>
    <w:p>
      <w:pPr>
        <w:keepNext/>
        <w:spacing w:before="0" w:after="100" w:line="276" w:lineRule="auto"/>
      </w:pPr>
      <w:r>
        <w:rPr>
          <w:rFonts w:ascii="Arial" w:hAnsi="Arial" w:cs="Arial" w:eastAsia="Arial"/>
          <w:b w:val="0"/>
          <w:i w:val="0"/>
          <w:sz w:val="20"/>
        </w:rPr>
        <w:t>Reihenfolge beim Auf- und Abschließen, Schlüsselübergabe und Verhalten bei fehlenden Schlüsseln.</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Reihenfolge beim Aufschließen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Reihenfolge beim Abschließen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Schlüsselübergabe (wann, an wen, Nachweis)</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Verhalten bei fehlenden Schlüsseln (Meldung an)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B.6  Objektspezifische Gefahren</w:t>
      </w:r>
    </w:p>
    <w:p>
      <w:pPr>
        <w:keepNext/>
        <w:spacing w:before="0" w:after="100" w:line="276" w:lineRule="auto"/>
      </w:pPr>
      <w:r>
        <w:rPr>
          <w:rFonts w:ascii="Arial" w:hAnsi="Arial" w:cs="Arial" w:eastAsia="Arial"/>
          <w:b w:val="0"/>
          <w:i w:val="0"/>
          <w:sz w:val="20"/>
        </w:rPr>
        <w:t>Tragen Sie das Ergebnis der Gefahrenprüfung nach § 8 DGUV Vorschrift 23 ein und die Maßnahmen, die bis zur Beseitigung einer Gefahrstelle gelten. Die Aufzeichnungen über die Gefahrenprüfung selbst sind ein eigenes Dokument.</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Gefahrenprüfung nach § 8 DGUV Vorschrift 23 (Datum, durchgeführt von, Ablageort)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bl>
    <w:p>
      <w:pPr>
        <w:keepNext/>
        <w:spacing w:before="0" w:after="40" w:line="144" w:lineRule="auto"/>
      </w:pPr>
    </w:p>
    <w:tbl>
      <w:tblPr>
        <w:tblW w:type="auto" w:w="0"/>
        <w:jc w:val="center"/>
        <w:tblLayout w:type="fixed"/>
        <w:tblLook w:firstColumn="1" w:firstRow="1" w:lastColumn="0" w:lastRow="0" w:noHBand="0" w:noVBand="1" w:val="04A0"/>
        <w:tblLayout w:type="fixed"/>
      </w:tblPr>
      <w:tblGrid>
        <w:gridCol w:w="680"/>
        <w:gridCol w:w="4195"/>
        <w:gridCol w:w="4762"/>
      </w:tblGrid>
      <w:tr>
        <w:trPr>
          <w:cantSplit/>
        </w:trPr>
        <w:tc>
          <w:tcPr>
            <w:tcW w:type="dxa" w:w="680"/>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Nr.</w:t>
            </w:r>
          </w:p>
        </w:tc>
        <w:tc>
          <w:tcPr>
            <w:tcW w:type="dxa" w:w="4195"/>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Gefahr (Ort, Art)</w:t>
            </w:r>
          </w:p>
        </w:tc>
        <w:tc>
          <w:tcPr>
            <w:tcW w:type="dxa" w:w="4762"/>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Maßnahme bis zur Beseitigung</w:t>
            </w:r>
          </w:p>
        </w:tc>
      </w:tr>
      <w:tr>
        <w:trPr>
          <w:cantSplit/>
          <w:trHeight w:val="737" w:hRule="atLeast"/>
        </w:trPr>
        <w:tc>
          <w:tcPr>
            <w:tcW w:type="dxa" w:w="680"/>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jc w:val="center"/>
            </w:pPr>
            <w:r>
              <w:rPr>
                <w:rFonts w:ascii="Arial" w:hAnsi="Arial" w:cs="Arial" w:eastAsia="Arial"/>
                <w:b w:val="0"/>
                <w:i w:val="0"/>
                <w:color w:val="555555"/>
                <w:sz w:val="19"/>
              </w:rPr>
              <w:t>1</w:t>
            </w:r>
          </w:p>
        </w:tc>
        <w:tc>
          <w:tcPr>
            <w:tcW w:type="dxa" w:w="419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476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737" w:hRule="atLeast"/>
        </w:trPr>
        <w:tc>
          <w:tcPr>
            <w:tcW w:type="dxa" w:w="680"/>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jc w:val="center"/>
            </w:pPr>
            <w:r>
              <w:rPr>
                <w:rFonts w:ascii="Arial" w:hAnsi="Arial" w:cs="Arial" w:eastAsia="Arial"/>
                <w:b w:val="0"/>
                <w:i w:val="0"/>
                <w:color w:val="555555"/>
                <w:sz w:val="19"/>
              </w:rPr>
              <w:t>2</w:t>
            </w:r>
          </w:p>
        </w:tc>
        <w:tc>
          <w:tcPr>
            <w:tcW w:type="dxa" w:w="419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476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737" w:hRule="atLeast"/>
        </w:trPr>
        <w:tc>
          <w:tcPr>
            <w:tcW w:type="dxa" w:w="680"/>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jc w:val="center"/>
            </w:pPr>
            <w:r>
              <w:rPr>
                <w:rFonts w:ascii="Arial" w:hAnsi="Arial" w:cs="Arial" w:eastAsia="Arial"/>
                <w:b w:val="0"/>
                <w:i w:val="0"/>
                <w:color w:val="555555"/>
                <w:sz w:val="19"/>
              </w:rPr>
              <w:t>3</w:t>
            </w:r>
          </w:p>
        </w:tc>
        <w:tc>
          <w:tcPr>
            <w:tcW w:type="dxa" w:w="419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476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737" w:hRule="atLeast"/>
        </w:trPr>
        <w:tc>
          <w:tcPr>
            <w:tcW w:type="dxa" w:w="680"/>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jc w:val="center"/>
            </w:pPr>
            <w:r>
              <w:rPr>
                <w:rFonts w:ascii="Arial" w:hAnsi="Arial" w:cs="Arial" w:eastAsia="Arial"/>
                <w:b w:val="0"/>
                <w:i w:val="0"/>
                <w:color w:val="555555"/>
                <w:sz w:val="19"/>
              </w:rPr>
              <w:t>4</w:t>
            </w:r>
          </w:p>
        </w:tc>
        <w:tc>
          <w:tcPr>
            <w:tcW w:type="dxa" w:w="419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476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737" w:hRule="atLeast"/>
        </w:trPr>
        <w:tc>
          <w:tcPr>
            <w:tcW w:type="dxa" w:w="680"/>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jc w:val="center"/>
            </w:pPr>
            <w:r>
              <w:rPr>
                <w:rFonts w:ascii="Arial" w:hAnsi="Arial" w:cs="Arial" w:eastAsia="Arial"/>
                <w:b w:val="0"/>
                <w:i w:val="0"/>
                <w:color w:val="555555"/>
                <w:sz w:val="19"/>
              </w:rPr>
              <w:t>5</w:t>
            </w:r>
          </w:p>
        </w:tc>
        <w:tc>
          <w:tcPr>
            <w:tcW w:type="dxa" w:w="419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476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B.7  Alarmierung und Eskalation</w:t>
      </w:r>
    </w:p>
    <w:p>
      <w:pPr>
        <w:keepNext/>
        <w:spacing w:before="0" w:after="100" w:line="276" w:lineRule="auto"/>
      </w:pPr>
      <w:r>
        <w:rPr>
          <w:rFonts w:ascii="Arial" w:hAnsi="Arial" w:cs="Arial" w:eastAsia="Arial"/>
          <w:b w:val="0"/>
          <w:i w:val="0"/>
          <w:sz w:val="20"/>
        </w:rPr>
        <w:t>Legen Sie fest, wer bei welchem Ereignis in welcher Reihenfolge alarmiert wird, mit Zuständigkeit auch außerhalb der Geschäftszeiten.</w:t>
      </w:r>
    </w:p>
    <w:tbl>
      <w:tblPr>
        <w:tblW w:type="auto" w:w="0"/>
        <w:jc w:val="center"/>
        <w:tblLayout w:type="fixed"/>
        <w:tblLook w:firstColumn="1" w:firstRow="1" w:lastColumn="0" w:lastRow="0" w:noHBand="0" w:noVBand="1" w:val="04A0"/>
        <w:tblLayout w:type="fixed"/>
      </w:tblPr>
      <w:tblGrid>
        <w:gridCol w:w="2381"/>
        <w:gridCol w:w="4422"/>
        <w:gridCol w:w="2835"/>
      </w:tblGrid>
      <w:tr>
        <w:trPr>
          <w:cantSplit/>
        </w:trPr>
        <w:tc>
          <w:tcPr>
            <w:tcW w:type="dxa" w:w="2381"/>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Ereignis</w:t>
            </w:r>
          </w:p>
        </w:tc>
        <w:tc>
          <w:tcPr>
            <w:tcW w:type="dxa" w:w="4422"/>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Alarmierung in dieser Reihenfolge (Stelle, Erreichbarkeit)</w:t>
            </w:r>
          </w:p>
        </w:tc>
        <w:tc>
          <w:tcPr>
            <w:tcW w:type="dxa" w:w="2835"/>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Zuständig außerhalb der Geschäftszeiten</w:t>
            </w:r>
          </w:p>
        </w:tc>
      </w:tr>
      <w:tr>
        <w:trPr>
          <w:cantSplit/>
          <w:trHeight w:val="850" w:hRule="atLeast"/>
        </w:trPr>
        <w:tc>
          <w:tcPr>
            <w:tcW w:type="dxa" w:w="238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442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83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850" w:hRule="atLeast"/>
        </w:trPr>
        <w:tc>
          <w:tcPr>
            <w:tcW w:type="dxa" w:w="238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442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83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850" w:hRule="atLeast"/>
        </w:trPr>
        <w:tc>
          <w:tcPr>
            <w:tcW w:type="dxa" w:w="238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442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83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850" w:hRule="atLeast"/>
        </w:trPr>
        <w:tc>
          <w:tcPr>
            <w:tcW w:type="dxa" w:w="238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442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83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850" w:hRule="atLeast"/>
        </w:trPr>
        <w:tc>
          <w:tcPr>
            <w:tcW w:type="dxa" w:w="238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442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2835"/>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B.8  Umgang mit Dritten</w:t>
      </w:r>
    </w:p>
    <w:p>
      <w:pPr>
        <w:keepNext/>
        <w:spacing w:before="0" w:after="100" w:line="276" w:lineRule="auto"/>
      </w:pPr>
      <w:r>
        <w:rPr>
          <w:rFonts w:ascii="Arial" w:hAnsi="Arial" w:cs="Arial" w:eastAsia="Arial"/>
          <w:b w:val="0"/>
          <w:i w:val="0"/>
          <w:sz w:val="20"/>
        </w:rPr>
        <w:t>Regelungen für Besucher, Handwerker, Lieferanten und Presse.</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Besucher</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Handwerker</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Lieferanten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Presse</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B.9  Hunde</w:t>
      </w:r>
    </w:p>
    <w:p>
      <w:pPr>
        <w:keepNext/>
        <w:spacing w:before="0" w:after="100" w:line="276" w:lineRule="auto"/>
      </w:pPr>
      <w:r>
        <w:rPr>
          <w:rFonts w:ascii="Arial" w:hAnsi="Arial" w:cs="Arial" w:eastAsia="Arial"/>
          <w:b w:val="0"/>
          <w:i w:val="0"/>
          <w:sz w:val="20"/>
        </w:rPr>
        <w:t>Falls im Objekt Hunde eingesetzt werden, regeln Sie das Verhalten bei der Begegnung nach § 9 Absatz 3 DGUV Vorschrift 23.</w:t>
      </w:r>
    </w:p>
    <w:p>
      <w:pPr>
        <w:keepNext/>
        <w:spacing w:before="0" w:after="100" w:line="240" w:lineRule="auto"/>
      </w:pPr>
      <w:r>
        <w:rPr>
          <w:rFonts w:ascii="Arial" w:hAnsi="Arial" w:cs="Arial" w:eastAsia="Arial"/>
          <w:b w:val="0"/>
          <w:i w:val="0"/>
          <w:sz w:val="24"/>
        </w:rPr>
        <w:t xml:space="preserve">☐ </w:t>
      </w:r>
      <w:r>
        <w:rPr>
          <w:rFonts w:ascii="Arial" w:hAnsi="Arial" w:cs="Arial" w:eastAsia="Arial"/>
          <w:b w:val="0"/>
          <w:i w:val="0"/>
          <w:sz w:val="20"/>
        </w:rPr>
        <w:t>Im Objekt werden Hunde eingesetzt</w:t>
      </w:r>
      <w:r>
        <w:rPr>
          <w:rFonts w:ascii="Arial" w:hAnsi="Arial" w:cs="Arial" w:eastAsia="Arial"/>
          <w:b w:val="0"/>
          <w:i w:val="0"/>
          <w:sz w:val="24"/>
        </w:rPr>
        <w:t xml:space="preserve">      ☐ </w:t>
      </w:r>
      <w:r>
        <w:rPr>
          <w:rFonts w:ascii="Arial" w:hAnsi="Arial" w:cs="Arial" w:eastAsia="Arial"/>
          <w:b w:val="0"/>
          <w:i w:val="0"/>
          <w:sz w:val="20"/>
        </w:rPr>
        <w:t>Im Objekt werden keine Hunde eingesetzt</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Eingesetzte Hunde (Anzahl, Bereiche, Zeiten)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Verhalten bei der Begegnung</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Ansprechpartner für den Hundeeinsatz (Name, Erreichbarkeit)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B.10  Dokumentation und Übergabe</w:t>
      </w:r>
    </w:p>
    <w:p>
      <w:pPr>
        <w:keepNext/>
        <w:spacing w:before="0" w:after="100" w:line="276" w:lineRule="auto"/>
      </w:pPr>
      <w:r>
        <w:rPr>
          <w:rFonts w:ascii="Arial" w:hAnsi="Arial" w:cs="Arial" w:eastAsia="Arial"/>
          <w:b w:val="0"/>
          <w:i w:val="0"/>
          <w:sz w:val="20"/>
        </w:rPr>
        <w:t>Was im Wachbuch festgehalten wird, welche Formulare pro Schicht auszufüllen sind und was bei der Schichtübergabe übergeben wird.</w:t>
      </w:r>
    </w:p>
    <w:tbl>
      <w:tblPr>
        <w:tblW w:type="auto" w:w="0"/>
        <w:jc w:val="center"/>
        <w:tblLayout w:type="fixed"/>
        <w:tblLook w:firstColumn="1" w:firstRow="1" w:lastColumn="0" w:lastRow="0" w:noHBand="0" w:noVBand="1" w:val="04A0"/>
        <w:tblLayout w:type="fixed"/>
      </w:tblPr>
      <w:tblGrid>
        <w:gridCol w:w="3061"/>
        <w:gridCol w:w="6577"/>
      </w:tblGrid>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Im Wachbuch festzuhalten (objektspezifisch)</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Formulare je Schicht</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1077"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Bei der Schichtübergabe zu übergeben (Schlüssel, Geräte, Informationen)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200" w:after="60" w:line="264" w:lineRule="auto"/>
      </w:pPr>
      <w:r>
        <w:rPr>
          <w:rFonts w:ascii="Arial" w:hAnsi="Arial" w:cs="Arial" w:eastAsia="Arial"/>
          <w:b/>
          <w:i w:val="0"/>
          <w:color w:val="7B2C7B"/>
          <w:sz w:val="23"/>
        </w:rPr>
        <w:t>B.11  Einweisung</w:t>
      </w:r>
    </w:p>
    <w:p>
      <w:pPr>
        <w:keepNext/>
        <w:spacing w:before="0" w:after="100" w:line="276" w:lineRule="auto"/>
      </w:pPr>
      <w:r>
        <w:rPr>
          <w:rFonts w:ascii="Arial" w:hAnsi="Arial" w:cs="Arial" w:eastAsia="Arial"/>
          <w:b w:val="0"/>
          <w:i w:val="0"/>
          <w:sz w:val="20"/>
        </w:rPr>
        <w:t>Halten Sie fest, wer eingewiesen wurde, wann, durch wen und zu welcher Tageszeit. Nach § 9 DGUV Vorschrift 23 ist die Einweisung in das Objekt und seine spezifischen Gefahren zu den Zeiten vorzunehmen, zu denen die Tätigkeit ausgeübt wird. Für ein Objekt, das nachts bewacht wird, genügt eine Begehung am Tag deshalb nicht.</w:t>
      </w:r>
    </w:p>
    <w:tbl>
      <w:tblPr>
        <w:tblW w:type="auto" w:w="0"/>
        <w:jc w:val="center"/>
        <w:tblLayout w:type="fixed"/>
        <w:tblLook w:firstColumn="1" w:firstRow="1" w:lastColumn="0" w:lastRow="0" w:noHBand="0" w:noVBand="1" w:val="04A0"/>
        <w:tblLayout w:type="fixed"/>
      </w:tblPr>
      <w:tblGrid>
        <w:gridCol w:w="2608"/>
        <w:gridCol w:w="1360"/>
        <w:gridCol w:w="1247"/>
        <w:gridCol w:w="2154"/>
        <w:gridCol w:w="2268"/>
      </w:tblGrid>
      <w:tr>
        <w:trPr>
          <w:cantSplit/>
        </w:trPr>
        <w:tc>
          <w:tcPr>
            <w:tcW w:type="dxa" w:w="2608"/>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Name</w:t>
            </w:r>
          </w:p>
        </w:tc>
        <w:tc>
          <w:tcPr>
            <w:tcW w:type="dxa" w:w="1361"/>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Datum</w:t>
            </w:r>
          </w:p>
        </w:tc>
        <w:tc>
          <w:tcPr>
            <w:tcW w:type="dxa" w:w="1247"/>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Uhrzeit</w:t>
            </w:r>
          </w:p>
        </w:tc>
        <w:tc>
          <w:tcPr>
            <w:tcW w:type="dxa" w:w="2154"/>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Eingewiesen durch</w:t>
            </w:r>
          </w:p>
        </w:tc>
        <w:tc>
          <w:tcPr>
            <w:tcW w:type="dxa" w:w="2268"/>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Unterschrift</w:t>
            </w:r>
          </w:p>
        </w:tc>
      </w:tr>
      <w:tr>
        <w:trPr>
          <w:cantSplit/>
          <w:trHeight w:val="623" w:hRule="atLeast"/>
        </w:trPr>
        <w:tc>
          <w:tcPr>
            <w:tcW w:type="dxa" w:w="260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36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24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26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260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36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24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26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260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36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24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26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260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36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24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26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260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36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124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c>
          <w:tcPr>
            <w:tcW w:type="dxa" w:w="226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52" w:lineRule="auto"/>
            </w:pPr>
          </w:p>
        </w:tc>
      </w:tr>
      <w:tr>
        <w:trPr>
          <w:cantSplit/>
          <w:trHeight w:val="623" w:hRule="atLeast"/>
        </w:trPr>
        <w:tc>
          <w:tcPr>
            <w:tcW w:type="dxa" w:w="260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1361"/>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1247"/>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2154"/>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2268"/>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r>
    </w:tbl>
    <w:p>
      <w:pPr>
        <w:keepNext/>
        <w:pageBreakBefore/>
        <w:spacing w:before="280" w:after="80" w:line="264" w:lineRule="auto"/>
      </w:pPr>
      <w:r>
        <w:rPr>
          <w:rFonts w:ascii="Arial" w:hAnsi="Arial" w:cs="Arial" w:eastAsia="Arial"/>
          <w:b/>
          <w:i w:val="0"/>
          <w:color w:val="7B2C7B"/>
          <w:sz w:val="26"/>
        </w:rPr>
        <w:t>Teil C: Empfangsbescheinigung nach § 17 Absatz 2 BewachV</w:t>
      </w:r>
    </w:p>
    <w:p>
      <w:pPr>
        <w:spacing w:before="0" w:after="160" w:line="276" w:lineRule="auto"/>
      </w:pPr>
      <w:r>
        <w:rPr>
          <w:rFonts w:ascii="Arial" w:hAnsi="Arial" w:cs="Arial" w:eastAsia="Arial"/>
          <w:b w:val="0"/>
          <w:i w:val="0"/>
          <w:sz w:val="20"/>
        </w:rPr>
        <w:t>Nach § 17 Absatz 2 BewachV erhält jede Wachperson vor der ersten Aufnahme der Bewachungstätigkeit einen Abdruck der Dienstanweisung gegen Empfangsbescheinigung. Mit dieser Bescheinigung wird der Erhalt des Dokuments quittiert, nicht das Einverständnis mit dem Inhalt.</w:t>
      </w:r>
    </w:p>
    <w:p>
      <w:pPr>
        <w:keepNext/>
        <w:spacing w:before="200" w:after="60" w:line="264" w:lineRule="auto"/>
      </w:pPr>
      <w:r>
        <w:rPr>
          <w:rFonts w:ascii="Arial" w:hAnsi="Arial" w:cs="Arial" w:eastAsia="Arial"/>
          <w:b/>
          <w:i w:val="0"/>
          <w:color w:val="7B2C7B"/>
          <w:sz w:val="23"/>
        </w:rPr>
        <w:t>Bestätigung</w:t>
      </w:r>
    </w:p>
    <w:p>
      <w:pPr>
        <w:keepNext/>
        <w:spacing w:before="0" w:after="120" w:line="276" w:lineRule="auto"/>
      </w:pPr>
      <w:r>
        <w:rPr>
          <w:rFonts w:ascii="Arial" w:hAnsi="Arial" w:cs="Arial" w:eastAsia="Arial"/>
          <w:b w:val="0"/>
          <w:i w:val="0"/>
          <w:sz w:val="20"/>
        </w:rPr>
        <w:t>Ich bestätige, dass ich vor der ersten Aufnahme meiner Bewachungstätigkeit einen Abdruck der Dienstanweisung des unten genannten Unternehmens in der unten genannten Fassung erhalten habe.</w:t>
      </w:r>
    </w:p>
    <w:tbl>
      <w:tblPr>
        <w:tblW w:type="auto" w:w="0"/>
        <w:jc w:val="center"/>
        <w:tblLayout w:type="fixed"/>
        <w:tblLook w:firstColumn="1" w:firstRow="1" w:lastColumn="0" w:lastRow="0" w:noHBand="0" w:noVBand="1" w:val="04A0"/>
        <w:tblLayout w:type="fixed"/>
      </w:tblPr>
      <w:tblGrid>
        <w:gridCol w:w="3061"/>
        <w:gridCol w:w="6577"/>
      </w:tblGrid>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Unternehmen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Dienstanweisung (Version, Datum)</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r>
              <w:rPr>
                <w:rFonts w:ascii="Arial" w:hAnsi="Arial" w:cs="Arial" w:eastAsia="Arial"/>
                <w:b w:val="0"/>
                <w:i w:val="0"/>
                <w:color w:val="555555"/>
                <w:sz w:val="19"/>
              </w:rPr>
              <w:t>Name der Wachperson</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keepNext/>
              <w:spacing w:before="0" w:after="0" w:line="240" w:lineRule="auto"/>
            </w:pPr>
          </w:p>
        </w:tc>
      </w:tr>
      <w:tr>
        <w:trPr>
          <w:cantSplit/>
          <w:trHeight w:val="623" w:hRule="atLeast"/>
        </w:trPr>
        <w:tc>
          <w:tcPr>
            <w:tcW w:type="dxa" w:w="3061"/>
            <w:shd w:val="clear" w:color="auto" w:fill="F2F2F2"/>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r>
              <w:rPr>
                <w:rFonts w:ascii="Arial" w:hAnsi="Arial" w:cs="Arial" w:eastAsia="Arial"/>
                <w:b w:val="0"/>
                <w:i w:val="0"/>
                <w:color w:val="555555"/>
                <w:sz w:val="19"/>
              </w:rPr>
              <w:t>Datum des Erhalts</w:t>
            </w:r>
          </w:p>
        </w:tc>
        <w:tc>
          <w:tcPr>
            <w:tcW w:type="dxa" w:w="6576"/>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40" w:lineRule="auto"/>
            </w:pPr>
          </w:p>
        </w:tc>
      </w:tr>
    </w:tbl>
    <w:p>
      <w:pPr>
        <w:spacing w:before="0" w:after="40" w:line="144" w:lineRule="auto"/>
      </w:pPr>
    </w:p>
    <w:p>
      <w:pPr>
        <w:keepNext/>
        <w:spacing w:before="120" w:after="60" w:line="276" w:lineRule="auto"/>
      </w:pPr>
      <w:r>
        <w:rPr>
          <w:rFonts w:ascii="Arial" w:hAnsi="Arial" w:cs="Arial" w:eastAsia="Arial"/>
          <w:b/>
          <w:i w:val="0"/>
          <w:color w:val="7B2C7B"/>
          <w:sz w:val="19"/>
        </w:rPr>
        <w:t>Unterschriften</w:t>
      </w:r>
    </w:p>
    <w:tbl>
      <w:tblPr>
        <w:tblW w:type="auto" w:w="0"/>
        <w:jc w:val="center"/>
        <w:tblLayout w:type="fixed"/>
        <w:tblLook w:firstColumn="1" w:firstRow="1" w:lastColumn="0" w:lastRow="0" w:noHBand="0" w:noVBand="1" w:val="04A0"/>
        <w:tblLayout w:type="fixed"/>
      </w:tblPr>
      <w:tblGrid>
        <w:gridCol w:w="4819"/>
        <w:gridCol w:w="4819"/>
      </w:tblGrid>
      <w:tr>
        <w:trPr>
          <w:cantSplit/>
        </w:trPr>
        <w:tc>
          <w:tcPr>
            <w:tcW w:type="dxa" w:w="4819"/>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Wachperson (Datum, Unterschrift)</w:t>
            </w:r>
          </w:p>
        </w:tc>
        <w:tc>
          <w:tcPr>
            <w:tcW w:type="dxa" w:w="4819"/>
            <w:shd w:val="clear" w:color="auto" w:fill="7B2C7B"/>
            <w:tcBorders>
              <w:top w:val="single" w:sz="4" w:space="0" w:color="7B2C7B"/>
              <w:left w:val="single" w:sz="4" w:space="0" w:color="7B2C7B"/>
              <w:bottom w:val="single" w:sz="4" w:space="0" w:color="7B2C7B"/>
              <w:right w:val="single" w:sz="4" w:space="0" w:color="7B2C7B"/>
            </w:tcBorders>
            <w:tcMar>
              <w:top w:w="60" w:type="dxa"/>
              <w:bottom w:w="60" w:type="dxa"/>
              <w:start w:w="100" w:type="dxa"/>
              <w:end w:w="100" w:type="dxa"/>
            </w:tcMar>
          </w:tcPr>
          <w:p>
            <w:pPr>
              <w:keepNext/>
              <w:spacing w:before="0" w:after="0" w:line="240" w:lineRule="auto"/>
            </w:pPr>
            <w:r>
              <w:rPr>
                <w:rFonts w:ascii="Arial" w:hAnsi="Arial" w:cs="Arial" w:eastAsia="Arial"/>
                <w:b/>
                <w:i w:val="0"/>
                <w:color w:val="FFFFFF"/>
                <w:sz w:val="19"/>
              </w:rPr>
              <w:t>Aushändigende Person (Name, Funktion, Datum, Unterschrift)</w:t>
            </w:r>
          </w:p>
        </w:tc>
      </w:tr>
      <w:tr>
        <w:trPr>
          <w:cantSplit/>
          <w:trHeight w:val="1474" w:hRule="atLeast"/>
        </w:trPr>
        <w:tc>
          <w:tcPr>
            <w:tcW w:type="dxa" w:w="4819"/>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c>
          <w:tcPr>
            <w:tcW w:type="dxa" w:w="4819"/>
            <w:tcBorders>
              <w:top w:val="single" w:sz="4" w:space="0" w:color="9A9A9A"/>
              <w:left w:val="single" w:sz="4" w:space="0" w:color="9A9A9A"/>
              <w:bottom w:val="single" w:sz="4" w:space="0" w:color="9A9A9A"/>
              <w:right w:val="single" w:sz="4" w:space="0" w:color="9A9A9A"/>
            </w:tcBorders>
            <w:tcMar>
              <w:top w:w="60" w:type="dxa"/>
              <w:bottom w:w="60" w:type="dxa"/>
              <w:start w:w="100" w:type="dxa"/>
              <w:end w:w="100" w:type="dxa"/>
            </w:tcMar>
          </w:tcPr>
          <w:p>
            <w:pPr>
              <w:spacing w:before="0" w:after="0" w:line="252" w:lineRule="auto"/>
            </w:pPr>
          </w:p>
        </w:tc>
      </w:tr>
    </w:tbl>
    <w:p>
      <w:pPr>
        <w:spacing w:before="0" w:after="120" w:line="240" w:lineRule="auto"/>
      </w:pPr>
    </w:p>
    <w:tbl>
      <w:tblPr>
        <w:tblW w:type="auto" w:w="0"/>
        <w:jc w:val="center"/>
        <w:tblLayout w:type="fixed"/>
        <w:tblLook w:firstColumn="1" w:firstRow="1" w:lastColumn="0" w:lastRow="0" w:noHBand="0" w:noVBand="1" w:val="04A0"/>
        <w:tblLayout w:type="fixed"/>
      </w:tblPr>
      <w:tblGrid>
        <w:gridCol w:w="9639"/>
      </w:tblGrid>
      <w:tr>
        <w:tc>
          <w:tcPr>
            <w:tcW w:type="dxa" w:w="9638"/>
            <w:shd w:val="clear" w:color="auto" w:fill="F6EEF6"/>
            <w:tcBorders>
              <w:top w:val="nil"/>
              <w:left w:val="single" w:sz="8" w:space="0" w:color="7B2C7B"/>
              <w:bottom w:val="nil"/>
              <w:right w:val="nil"/>
            </w:tcBorders>
            <w:tcMar>
              <w:top w:w="120" w:type="dxa"/>
              <w:bottom w:w="120" w:type="dxa"/>
              <w:start w:w="200" w:type="dxa"/>
              <w:end w:w="200" w:type="dxa"/>
            </w:tcMar>
          </w:tcPr>
          <w:p>
            <w:pPr>
              <w:spacing w:before="0" w:after="60" w:line="240" w:lineRule="auto"/>
            </w:pPr>
            <w:r>
              <w:rPr>
                <w:rFonts w:ascii="Arial" w:hAnsi="Arial" w:cs="Arial" w:eastAsia="Arial"/>
                <w:b/>
                <w:i w:val="0"/>
                <w:color w:val="7B2C7B"/>
                <w:sz w:val="19"/>
              </w:rPr>
              <w:t>Hinweise zur Aufbewahrung</w:t>
            </w:r>
          </w:p>
          <w:p>
            <w:pPr>
              <w:spacing w:before="0" w:after="0" w:line="288" w:lineRule="auto"/>
            </w:pPr>
            <w:r>
              <w:rPr>
                <w:rFonts w:ascii="Arial" w:hAnsi="Arial" w:cs="Arial" w:eastAsia="Arial"/>
                <w:b w:val="0"/>
                <w:i w:val="0"/>
                <w:sz w:val="19"/>
              </w:rPr>
              <w:t>Dienstanweisung und Empfangsbescheinigung gehören nach § 21 BewachV zu den Belegen, die das Unternehmen aufbewahren muss. Die Frist endet nach § 21 Absatz 4 BewachV drei Jahre nach dem Schluss des Kalenderjahres, in dem das Beschäftigungsverhältnis endete. Die Verpflichtung zur Verschwiegenheit nach § 17 Absatz 3 BewachV ist ein gesondertes Dokument und wird nicht mit dieser Bescheinigung erfasst.</w:t>
            </w:r>
          </w:p>
        </w:tc>
      </w:tr>
    </w:tbl>
    <w:sectPr w:rsidR="00FC693F" w:rsidRPr="0006063C" w:rsidSect="00034616">
      <w:footerReference w:type="default" r:id="rId9"/>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BBBBBB"/>
      </w:pBdr>
      <w:tabs>
        <w:tab w:pos="9638" w:val="right"/>
      </w:tabs>
      <w:spacing w:before="0" w:after="0" w:line="240" w:lineRule="auto"/>
    </w:pPr>
    <w:r>
      <w:rPr>
        <w:rFonts w:ascii="Arial" w:hAnsi="Arial" w:cs="Arial" w:eastAsia="Arial"/>
        <w:b w:val="0"/>
        <w:i w:val="0"/>
        <w:color w:val="555555"/>
        <w:sz w:val="16"/>
      </w:rPr>
      <w:t>Muster bereitgestellt von COREDINATE, coredinate.de. Stand: September 2026.</w:t>
    </w:r>
    <w:r>
      <w:rPr>
        <w:rFonts w:ascii="Arial" w:hAnsi="Arial" w:cs="Arial" w:eastAsia="Arial"/>
        <w:b w:val="0"/>
        <w:i w:val="0"/>
        <w:color w:val="555555"/>
        <w:sz w:val="16"/>
      </w:rPr>
      <w:tab/>
      <w:t xml:space="preserve">Seite </w:t>
    </w:r>
    <w:r>
      <w:rPr>
        <w:rFonts w:ascii="Arial" w:hAnsi="Arial" w:cs="Arial" w:eastAsia="Arial"/>
        <w:b w:val="0"/>
        <w:i w:val="0"/>
        <w:color w:val="555555"/>
        <w:sz w:val="16"/>
      </w:rPr>
      <w:fldChar w:fldCharType="begin"/>
      <w:instrText xml:space="preserve"> PAGE </w:instrText>
      <w:fldChar w:fldCharType="separate"/>
      <w:t>1</w:t>
      <w:fldChar w:fldCharType="end"/>
    </w:r>
    <w:r>
      <w:rPr>
        <w:rFonts w:ascii="Arial" w:hAnsi="Arial" w:cs="Arial" w:eastAsia="Arial"/>
        <w:b w:val="0"/>
        <w:i w:val="0"/>
        <w:color w:val="555555"/>
        <w:sz w:val="16"/>
      </w:rPr>
      <w:t xml:space="preserve"> von </w:t>
    </w:r>
    <w:r>
      <w:rPr>
        <w:rFonts w:ascii="Arial" w:hAnsi="Arial" w:cs="Arial" w:eastAsia="Arial"/>
        <w:b w:val="0"/>
        <w:i w:val="0"/>
        <w:color w:val="555555"/>
        <w:sz w:val="16"/>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